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0"/>
        <w:jc w:val="center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5616000"/>
            <wp:effectExtent l="0" t="0" r="0" b="0"/>
            <wp:wrapNone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ban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5616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  <wp:simplePos x="0" y="0"/>
            <wp:positionH relativeFrom="page">
              <wp:posOffset>4500000</wp:posOffset>
            </wp:positionH>
            <wp:positionV relativeFrom="page">
              <wp:posOffset>8201924</wp:posOffset>
            </wp:positionV>
            <wp:extent cx="4500000" cy="4016250"/>
            <wp:effectExtent l="0" t="0" r="0" b="0"/>
            <wp:wrapNone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ke-motif-ligh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40162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inline xmlns:a="http://schemas.openxmlformats.org/drawingml/2006/main" xmlns:pic="http://schemas.openxmlformats.org/drawingml/2006/picture">
            <wp:extent cx="1872000" cy="188114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ll-on-dark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72000" cy="18811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Etichetta"/>
        <w:spacing w:after="120"/>
        <w:jc w:val="center"/>
      </w:pPr>
      <w:r>
        <w:rPr>
          <w:color w:val="FBBF24"/>
        </w:rPr>
        <w:t>Proposta</w:t>
      </w:r>
    </w:p>
    <w:p>
      <w:pPr>
        <w:pStyle w:val="Title"/>
        <w:spacing w:after="160"/>
        <w:jc w:val="center"/>
      </w:pPr>
      <w:r>
        <w:rPr>
          <w:color w:val="F8FAFC"/>
        </w:rPr>
        <w:t>Titolo del documento</w:t>
      </w:r>
    </w:p>
    <w:p>
      <w:pPr>
        <w:pStyle w:val="Subtitle"/>
        <w:spacing w:after="2360"/>
        <w:jc w:val="center"/>
      </w:pPr>
      <w:r>
        <w:rPr>
          <w:color w:val="94A3B8"/>
        </w:rPr>
        <w:t>Sottotitolo o perimetro del lavoro</w:t>
      </w:r>
    </w:p>
    <w:tbl>
      <w:tblPr>
        <w:tblStyle w:val="TabellaEnricoDeleo"/>
        <w:tblW w:type="auto" w:w="0"/>
        <w:jc w:val="center"/>
        <w:tblLook w:firstColumn="0" w:firstRow="0" w:lastColumn="0" w:lastRow="0" w:noHBand="0" w:noVBand="1" w:val="04A0"/>
      </w:tblPr>
      <w:tblGrid>
        <w:gridCol w:w="4536"/>
        <w:gridCol w:w="4536"/>
      </w:tblGrid>
      <w:tr>
        <w:trPr>
          <w:trHeight w:val="482" w:hRule="atLeast"/>
        </w:trPr>
        <w:tc>
          <w:tcPr>
            <w:tcW w:type="dxa" w:w="1984"/>
            <w:vAlign w:val="center"/>
          </w:tcPr>
          <w:p>
            <w:pPr>
              <w:spacing w:before="0" w:after="0" w:line="240" w:lineRule="auto"/>
            </w:pPr>
            <w:r>
              <w:rPr>
                <w:rFonts w:ascii="IBM Plex Mono" w:hAnsi="IBM Plex Mono"/>
                <w:caps/>
                <w:color w:val="64748B"/>
                <w:sz w:val="17"/>
              </w:rPr>
              <w:t>Cliente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40" w:lineRule="auto"/>
            </w:pPr>
            <w:r>
              <w:t>Nome cliente</w:t>
            </w:r>
          </w:p>
        </w:tc>
      </w:tr>
      <w:tr>
        <w:trPr>
          <w:trHeight w:val="482" w:hRule="atLeast"/>
        </w:trPr>
        <w:tc>
          <w:tcPr>
            <w:tcW w:type="dxa" w:w="1984"/>
            <w:vAlign w:val="center"/>
          </w:tcPr>
          <w:p>
            <w:pPr>
              <w:spacing w:before="0" w:after="0" w:line="240" w:lineRule="auto"/>
            </w:pPr>
            <w:r>
              <w:rPr>
                <w:rFonts w:ascii="IBM Plex Mono" w:hAnsi="IBM Plex Mono"/>
                <w:caps/>
                <w:color w:val="64748B"/>
                <w:sz w:val="17"/>
              </w:rPr>
              <w:t>Versione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40" w:lineRule="auto"/>
            </w:pPr>
            <w:r>
              <w:t>1.0</w:t>
            </w:r>
          </w:p>
        </w:tc>
      </w:tr>
      <w:tr>
        <w:trPr>
          <w:trHeight w:val="482" w:hRule="atLeast"/>
        </w:trPr>
        <w:tc>
          <w:tcPr>
            <w:tcW w:type="dxa" w:w="1984"/>
            <w:vAlign w:val="center"/>
          </w:tcPr>
          <w:p>
            <w:pPr>
              <w:spacing w:before="0" w:after="0" w:line="240" w:lineRule="auto"/>
            </w:pPr>
            <w:r>
              <w:rPr>
                <w:rFonts w:ascii="IBM Plex Mono" w:hAnsi="IBM Plex Mono"/>
                <w:caps/>
                <w:color w:val="64748B"/>
                <w:sz w:val="17"/>
              </w:rPr>
              <w:t>Data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40" w:lineRule="auto"/>
            </w:pPr>
            <w:r>
              <w:t>1 ottobre 2026</w:t>
            </w:r>
          </w:p>
        </w:tc>
      </w:tr>
      <w:tr>
        <w:trPr>
          <w:trHeight w:val="482" w:hRule="atLeast"/>
        </w:trPr>
        <w:tc>
          <w:tcPr>
            <w:tcW w:type="dxa" w:w="1984"/>
            <w:vAlign w:val="center"/>
          </w:tcPr>
          <w:p>
            <w:pPr>
              <w:spacing w:before="0" w:after="0" w:line="240" w:lineRule="auto"/>
            </w:pPr>
            <w:r>
              <w:rPr>
                <w:rFonts w:ascii="IBM Plex Mono" w:hAnsi="IBM Plex Mono"/>
                <w:caps/>
                <w:color w:val="64748B"/>
                <w:sz w:val="17"/>
              </w:rPr>
              <w:t>Autore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40" w:lineRule="auto"/>
            </w:pPr>
            <w:r>
              <w:t>Enrico Deleo</w:t>
            </w:r>
          </w:p>
        </w:tc>
      </w:tr>
      <w:tr>
        <w:trPr>
          <w:trHeight w:val="482" w:hRule="atLeast"/>
        </w:trPr>
        <w:tc>
          <w:tcPr>
            <w:tcW w:type="dxa" w:w="1984"/>
            <w:vAlign w:val="center"/>
          </w:tcPr>
          <w:p>
            <w:pPr>
              <w:spacing w:before="0" w:after="0" w:line="240" w:lineRule="auto"/>
            </w:pPr>
            <w:r>
              <w:rPr>
                <w:rFonts w:ascii="IBM Plex Mono" w:hAnsi="IBM Plex Mono"/>
                <w:caps/>
                <w:color w:val="64748B"/>
                <w:sz w:val="17"/>
              </w:rPr>
              <w:t>Riservatezza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40" w:lineRule="auto"/>
            </w:pPr>
            <w:r>
              <w:t>Riservato</w:t>
            </w:r>
          </w:p>
        </w:tc>
      </w:tr>
    </w:tbl>
    <w:p>
      <w:r>
        <w:br w:type="page"/>
      </w:r>
    </w:p>
    <w:p>
      <w:pPr>
        <w:pStyle w:val="Etichetta"/>
      </w:pPr>
      <w:r>
        <w:t>Indice</w:t>
      </w:r>
    </w:p>
    <w:p>
      <w:fldSimple w:instr="TOC \o &quot;1-3&quot; \h \z \u">
        <w:r>
          <w:t xml:space="preserve">Aggiorna l’indice: tasto destro → Aggiorna campo (F9).</w:t>
        </w:r>
      </w:fldSimple>
    </w:p>
    <w:p>
      <w:r>
        <w:br w:type="page"/>
      </w:r>
    </w:p>
    <w:p>
      <w:pPr>
        <w:pStyle w:val="Heading1"/>
      </w:pPr>
      <w:r>
        <w:t>Contesto</w:t>
      </w:r>
    </w:p>
    <w:p>
      <w:r>
        <w:t>L’azienda gestisce oggi le operazioni su strumenti separati: fogli di calcolo, messaggi e telefonate. Il risultato è poca visibilità sullo stato del lavoro e molto tempo speso a coordinare le persone.</w:t>
      </w:r>
    </w:p>
    <w:p>
      <w:pPr>
        <w:pStyle w:val="Heading1"/>
      </w:pPr>
      <w:r>
        <w:t>Obiettivi</w:t>
      </w:r>
    </w:p>
    <w:p>
      <w:pPr>
        <w:pStyle w:val="ListBullet"/>
      </w:pPr>
      <w:r>
        <w:t>Un’unica fonte di verità per richieste, assegnazioni e stato.</w:t>
      </w:r>
    </w:p>
    <w:p>
      <w:pPr>
        <w:pStyle w:val="ListBullet"/>
      </w:pPr>
      <w:r>
        <w:t>Meno tempo di coordinamento per chi gestisce il team.</w:t>
      </w:r>
    </w:p>
    <w:p>
      <w:pPr>
        <w:pStyle w:val="ListBullet"/>
      </w:pPr>
      <w:r>
        <w:t>Dati affidabili per decidere dove investire.</w:t>
      </w:r>
    </w:p>
    <w:p>
      <w:pPr>
        <w:pStyle w:val="Heading1"/>
      </w:pPr>
      <w:r>
        <w:t>Approccio</w:t>
      </w:r>
    </w:p>
    <w:p>
      <w:r>
        <w:t>Partiamo da un MVP che risolve il flusso più costoso, lo mettiamo in mano agli utenti reali e decidiamo il passo successivo sui dati, non sulle ipotesi.</w:t>
      </w:r>
    </w:p>
    <w:p>
      <w:pPr>
        <w:pStyle w:val="Heading2"/>
      </w:pPr>
      <w:r>
        <w:t>Principi</w:t>
      </w:r>
    </w:p>
    <w:p>
      <w:pPr>
        <w:pStyle w:val="ListNumber"/>
      </w:pPr>
      <w:r>
        <w:t>Prima il flusso, poi la tecnologia.</w:t>
      </w:r>
    </w:p>
    <w:p>
      <w:pPr>
        <w:pStyle w:val="ListNumber"/>
      </w:pPr>
      <w:r>
        <w:t>Rilasci piccoli e frequenti.</w:t>
      </w:r>
    </w:p>
    <w:p>
      <w:pPr>
        <w:pStyle w:val="ListNumber"/>
      </w:pPr>
      <w:r>
        <w:t>Misurare prima e dopo.</w:t>
      </w:r>
    </w:p>
    <w:p>
      <w:pPr>
        <w:pStyle w:val="Heading1"/>
      </w:pPr>
      <w:r>
        <w:t>Piano</w:t>
      </w:r>
    </w:p>
    <w:p>
      <w:r>
        <w:t>Il lavoro è diviso in tre fasi, ciascuna con un risultato verificabile.</w:t>
      </w:r>
    </w:p>
    <w:tbl>
      <w:tblPr>
        <w:tblStyle w:val="TabellaEnricoDeleo"/>
        <w:tblW w:type="auto" w:w="0"/>
        <w:tblLook w:firstColumn="0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1984"/>
            <w:vAlign w:val="center"/>
          </w:tcPr>
          <w:p>
            <w:r>
              <w:rPr>
                <w:rFonts w:ascii="Inter SemiBold" w:hAnsi="Inter SemiBold"/>
                <w:color w:val="FFFFFF"/>
              </w:rPr>
              <w:t>Fase</w:t>
            </w:r>
          </w:p>
        </w:tc>
        <w:tc>
          <w:tcPr>
            <w:tcW w:type="dxa" w:w="5386"/>
            <w:vAlign w:val="center"/>
          </w:tcPr>
          <w:p>
            <w:r>
              <w:rPr>
                <w:rFonts w:ascii="Inter SemiBold" w:hAnsi="Inter SemiBold"/>
                <w:color w:val="FFFFFF"/>
              </w:rPr>
              <w:t>Attività</w:t>
            </w:r>
          </w:p>
        </w:tc>
        <w:tc>
          <w:tcPr>
            <w:tcW w:type="dxa" w:w="1701"/>
            <w:vAlign w:val="center"/>
          </w:tcPr>
          <w:p>
            <w:r>
              <w:rPr>
                <w:rFonts w:ascii="Inter SemiBold" w:hAnsi="Inter SemiBold"/>
                <w:color w:val="FFFFFF"/>
              </w:rPr>
              <w:t>Durata</w:t>
            </w:r>
          </w:p>
        </w:tc>
      </w:tr>
      <w:tr>
        <w:tc>
          <w:tcPr>
            <w:tcW w:type="dxa" w:w="1984"/>
            <w:vAlign w:val="center"/>
          </w:tcPr>
          <w:p>
            <w:r>
              <w:t>Discovery</w:t>
            </w:r>
          </w:p>
        </w:tc>
        <w:tc>
          <w:tcPr>
            <w:tcW w:type="dxa" w:w="5386"/>
            <w:vAlign w:val="center"/>
          </w:tcPr>
          <w:p>
            <w:r>
              <w:t>Interviste, mappa del flusso, priorità</w:t>
            </w:r>
          </w:p>
        </w:tc>
        <w:tc>
          <w:tcPr>
            <w:tcW w:type="dxa" w:w="1701"/>
            <w:vAlign w:val="center"/>
          </w:tcPr>
          <w:p>
            <w:r>
              <w:t>2 settimane</w:t>
            </w:r>
          </w:p>
        </w:tc>
      </w:tr>
      <w:tr>
        <w:tc>
          <w:tcPr>
            <w:tcW w:type="dxa" w:w="1984"/>
            <w:vAlign w:val="center"/>
          </w:tcPr>
          <w:p>
            <w:r>
              <w:t>MVP</w:t>
            </w:r>
          </w:p>
        </w:tc>
        <w:tc>
          <w:tcPr>
            <w:tcW w:type="dxa" w:w="5386"/>
            <w:vAlign w:val="center"/>
          </w:tcPr>
          <w:p>
            <w:r>
              <w:t>Sviluppo del flusso principale e integrazioni minime</w:t>
            </w:r>
          </w:p>
        </w:tc>
        <w:tc>
          <w:tcPr>
            <w:tcW w:type="dxa" w:w="1701"/>
            <w:vAlign w:val="center"/>
          </w:tcPr>
          <w:p>
            <w:r>
              <w:t>6 settimane</w:t>
            </w:r>
          </w:p>
        </w:tc>
      </w:tr>
      <w:tr>
        <w:tc>
          <w:tcPr>
            <w:tcW w:type="dxa" w:w="1984"/>
            <w:vAlign w:val="center"/>
          </w:tcPr>
          <w:p>
            <w:r>
              <w:t>Pilota</w:t>
            </w:r>
          </w:p>
        </w:tc>
        <w:tc>
          <w:tcPr>
            <w:tcW w:type="dxa" w:w="5386"/>
            <w:vAlign w:val="center"/>
          </w:tcPr>
          <w:p>
            <w:r>
              <w:t>Uso reale con un gruppo ristretto, misure e correzioni</w:t>
            </w:r>
          </w:p>
        </w:tc>
        <w:tc>
          <w:tcPr>
            <w:tcW w:type="dxa" w:w="1701"/>
            <w:vAlign w:val="center"/>
          </w:tcPr>
          <w:p>
            <w:r>
              <w:t>4 settimane</w:t>
            </w:r>
          </w:p>
        </w:tc>
      </w:tr>
    </w:tbl>
    <w:p>
      <w:pPr>
        <w:pStyle w:val="Didascalia"/>
      </w:pPr>
      <w:r>
        <w:t>Tabella 1 – Piano di lavoro</w:t>
      </w:r>
    </w:p>
    <w:p>
      <w:pPr>
        <w:pStyle w:val="Heading1"/>
      </w:pPr>
      <w:r>
        <w:t>Investimento</w:t>
      </w:r>
    </w:p>
    <w:p>
      <w:r>
        <w:t>L’investimento è a corpo per fase, con un punto di decisione alla fine di ciascuna.</w:t>
      </w:r>
    </w:p>
    <w:p>
      <w:pPr>
        <w:pStyle w:val="Callout"/>
      </w:pPr>
      <w:r>
        <w:t>Decisione richiesta: approvare la fase di Discovery per partire entro due settimane.</w:t>
      </w:r>
    </w:p>
    <w:p>
      <w:pPr>
        <w:pStyle w:val="Heading1"/>
      </w:pPr>
      <w:r>
        <w:t>Prossimi passi</w:t>
      </w:r>
    </w:p>
    <w:p>
      <w:r>
        <w:t>Allineamento sul perimetro, firma della proposta e calendario delle interviste.</w:t>
      </w:r>
    </w:p>
    <w:p>
      <w:pPr>
        <w:pStyle w:val="Codice"/>
      </w:pPr>
      <w:r>
        <w:t>GET /api/v1/stato?richiesta=123</w:t>
      </w:r>
    </w:p>
    <w:p>
      <w:pPr>
        <w:pStyle w:val="Heading1"/>
        <w:numPr>
          <w:ilvl w:val="0"/>
          <w:numId w:val="0"/>
        </w:numPr>
      </w:pPr>
      <w:r>
        <w:t>Appendice – Glossario</w:t>
      </w:r>
    </w:p>
    <w:p>
      <w:r>
        <w:rPr>
          <w:rFonts w:ascii="Inter SemiBold" w:hAnsi="Inter SemiBold"/>
        </w:rPr>
        <w:t xml:space="preserve">MVP – </w:t>
      </w:r>
      <w:r>
        <w:t>Minimum Viable Product: la versione più piccola che produce valore misurabile.</w:t>
      </w:r>
    </w:p>
    <w:p>
      <w:r>
        <w:rPr>
          <w:rFonts w:ascii="Inter SemiBold" w:hAnsi="Inter SemiBold"/>
        </w:rPr>
        <w:t xml:space="preserve">LLM – </w:t>
      </w:r>
      <w:r>
        <w:t>Large Language Model: modello linguistico che genera testo a partire da un contesto.</w:t>
      </w:r>
    </w:p>
    <w:p>
      <w:r>
        <w:rPr>
          <w:rFonts w:ascii="Inter SemiBold" w:hAnsi="Inter SemiBold"/>
        </w:rPr>
        <w:t xml:space="preserve">RAG – </w:t>
      </w:r>
      <w:r>
        <w:t>Retrieval-Augmented Generation: il modello risponde usando documenti recuperati al momento.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680" w:footer="68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ter">
    <w:altName w:val="Arial"/>
    <w:panose1 w:val="020B0502030000000004"/>
    <w:charset w:val="00"/>
    <w:family w:val="swiss"/>
    <w:pitch w:val="variable"/>
  </w:font>
  <w:font w:name="Inter Medium">
    <w:altName w:val="Arial"/>
    <w:panose1 w:val="020B0502030000000004"/>
    <w:charset w:val="00"/>
    <w:family w:val="swiss"/>
    <w:pitch w:val="variable"/>
  </w:font>
  <w:font w:name="Inter SemiBold">
    <w:altName w:val="Arial"/>
    <w:panose1 w:val="020B0502030000000004"/>
    <w:charset w:val="00"/>
    <w:family w:val="swiss"/>
    <w:pitch w:val="variable"/>
  </w:font>
  <w:font w:name="IBM Plex Mono">
    <w:altName w:val="Consolas"/>
    <w:panose1 w:val="020B0509050203000203"/>
    <w:charset w:val="00"/>
    <w:family w:val="modern"/>
    <w:pitch w:val="fixed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ook w:firstColumn="1" w:firstRow="1" w:lastColumn="0" w:lastRow="0" w:noHBand="0" w:noVBand="1" w:val="04A0"/>
    </w:tblPr>
    <w:tblGrid>
      <w:gridCol w:w="4535"/>
      <w:gridCol w:w="4535"/>
    </w:tblGrid>
    <w:tr>
      <w:tc>
        <w:tcPr>
          <w:tcW w:type="dxa" w:w="4535"/>
        </w:tcPr>
        <w:p>
          <w:pPr>
            <w:pStyle w:val="Footer"/>
          </w:pPr>
          <w:r>
            <w:t>Enrico Deleo · enricodeleo.com</w:t>
          </w:r>
        </w:p>
      </w:tc>
      <w:tc>
        <w:tcPr>
          <w:tcW w:type="dxa" w:w="4535"/>
        </w:tcPr>
        <w:p>
          <w:pPr>
            <w:pStyle w:val="Footer"/>
            <w:jc w:val="right"/>
          </w:pPr>
          <w:r>
            <w:t xml:space="preserve">Pagina </w:t>
          </w:r>
          <w:fldSimple w:instr="PAGE">
            <w:r>
              <w:t xml:space="preserve">1</w:t>
            </w:r>
          </w:fldSimple>
          <w:r>
            <w:t xml:space="preserve"> di </w:t>
          </w:r>
          <w:fldSimple w:instr="NUMPAGES">
            <w:r>
              <w:t xml:space="preserve">1</w:t>
            </w:r>
          </w:fldSimple>
        </w:p>
      </w:tc>
    </w:tr>
  </w:tbl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Titolo del documento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91">
    <w:multiLevelType w:val="singleLevel"/>
    <w:lvl w:ilvl="0">
      <w:start w:val="1"/>
      <w:numFmt w:val="bullet"/>
      <w:lvlText w:val="■"/>
      <w:lvlJc w:val="left"/>
      <w:pPr>
        <w:ind w:left="340" w:hanging="340"/>
      </w:pPr>
      <w:rPr>
        <w:rFonts w:ascii="Arial" w:hAnsi="Arial" w:cs="Arial"/>
        <w:color w:val="64748B"/>
        <w:sz w:val="12"/>
      </w:rPr>
    </w:lvl>
  </w:abstractNum>
  <w:abstractNum w:abstractNumId="90">
    <w:multiLevelType w:val="multilevel"/>
    <w:lvl w:ilvl="0">
      <w:start w:val="1"/>
      <w:numFmt w:val="decimal"/>
      <w:pStyle w:val="Heading1"/>
      <w:lvlText w:val="%1"/>
      <w:lvlJc w:val="left"/>
      <w:pPr>
        <w:ind w:left="567" w:hanging="567"/>
      </w:pPr>
      <w:rPr>
        <w:rFonts w:ascii="IBM Plex Mono" w:hAnsi="IBM Plex Mono" w:cs="IBM Plex Mono"/>
        <w:color w:val="64748B"/>
        <w:sz w:val="26"/>
      </w:rPr>
    </w:lvl>
    <w:lvl w:ilvl="1">
      <w:start w:val="1"/>
      <w:numFmt w:val="decimal"/>
      <w:pStyle w:val="Heading2"/>
      <w:lvlText w:val="%1.%2"/>
      <w:lvlJc w:val="left"/>
      <w:pPr>
        <w:ind w:left="709" w:hanging="709"/>
      </w:pPr>
      <w:rPr>
        <w:rFonts w:ascii="IBM Plex Mono" w:hAnsi="IBM Plex Mono" w:cs="IBM Plex Mono"/>
        <w:color w:val="64748B"/>
        <w:sz w:val="20"/>
      </w:rPr>
    </w:lvl>
    <w:lvl w:ilvl="2">
      <w:start w:val="1"/>
      <w:numFmt w:val="decimal"/>
      <w:pStyle w:val="Heading3"/>
      <w:lvlText w:val="%1.%2.%3"/>
      <w:lvlJc w:val="left"/>
      <w:pPr>
        <w:ind w:left="851" w:hanging="851"/>
      </w:pPr>
      <w:rPr>
        <w:rFonts w:ascii="IBM Plex Mono" w:hAnsi="IBM Plex Mono" w:cs="IBM Plex Mono"/>
        <w:color w:val="64748B"/>
        <w:sz w:val="18"/>
      </w:rPr>
    </w:lvl>
  </w:abstractNum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">
    <w:abstractNumId w:val="90"/>
  </w:num>
  <w:num w:numId="91">
    <w:abstractNumId w:val="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36" w:lineRule="auto"/>
    </w:pPr>
    <w:rPr>
      <w:rFonts w:ascii="Inter" w:hAnsi="Inter" w:cs="Inter" w:eastAsia="Inter"/>
      <w:color w:val="3C485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88" w:lineRule="auto"/>
    </w:pPr>
    <w:rPr>
      <w:rFonts w:ascii="IBM Plex Mono" w:hAnsi="IBM Plex Mono" w:cs="IBM Plex Mono" w:eastAsia="IBM Plex Mono"/>
      <w:color w:val="64748B"/>
      <w:sz w:val="15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88" w:lineRule="auto"/>
    </w:pPr>
    <w:rPr>
      <w:rFonts w:ascii="IBM Plex Mono" w:hAnsi="IBM Plex Mono" w:cs="IBM Plex Mono" w:eastAsia="IBM Plex Mono"/>
      <w:color w:val="64748B"/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numPr>
        <w:ilvl w:val="0"/>
        <w:numId w:val="90"/>
      </w:numPr>
      <w:spacing w:before="360" w:after="120" w:line="276" w:lineRule="auto"/>
      <w:outlineLvl w:val="0"/>
    </w:pPr>
    <w:rPr>
      <w:rFonts w:ascii="Inter SemiBold" w:hAnsi="Inter SemiBold" w:cs="Inter SemiBold" w:eastAsia="Inter SemiBold"/>
      <w:b w:val="0"/>
      <w:bCs/>
      <w:i w:val="0"/>
      <w:color w:val="0F172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numPr>
        <w:ilvl w:val="1"/>
        <w:numId w:val="90"/>
      </w:numPr>
      <w:spacing w:before="240" w:after="120" w:line="276" w:lineRule="auto"/>
      <w:outlineLvl w:val="1"/>
    </w:pPr>
    <w:rPr>
      <w:rFonts w:ascii="Inter SemiBold" w:hAnsi="Inter SemiBold" w:cs="Inter SemiBold" w:eastAsia="Inter SemiBold"/>
      <w:b w:val="0"/>
      <w:bCs/>
      <w:i w:val="0"/>
      <w:color w:val="0F172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numPr>
        <w:ilvl w:val="2"/>
        <w:numId w:val="90"/>
      </w:numPr>
      <w:spacing w:before="240" w:after="120" w:line="276" w:lineRule="auto"/>
      <w:outlineLvl w:val="2"/>
    </w:pPr>
    <w:rPr>
      <w:rFonts w:ascii="Inter SemiBold" w:hAnsi="Inter SemiBold" w:cs="Inter SemiBold" w:eastAsia="Inter SemiBold"/>
      <w:b w:val="0"/>
      <w:bCs/>
      <w:i w:val="0"/>
      <w:color w:val="0F172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4" w:lineRule="auto"/>
      <w:contextualSpacing/>
    </w:pPr>
    <w:rPr>
      <w:rFonts w:ascii="Inter SemiBold" w:hAnsi="Inter SemiBold" w:cs="Inter SemiBold" w:eastAsia="Inter SemiBold"/>
      <w:b w:val="0"/>
      <w:color w:val="0F172A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Inter" w:hAnsi="Inter" w:cs="Inter" w:eastAsia="Inter"/>
      <w:b w:val="0"/>
      <w:i w:val="0"/>
      <w:iCs/>
      <w:color w:val="64748B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91"/>
      </w:numPr>
      <w:contextualSpacing/>
    </w:pPr>
    <w:rPr>
      <w:rFonts w:ascii="Inter" w:hAnsi="Inter" w:cs="Inter" w:eastAsia="Inter"/>
      <w:color w:val="3C485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Inter" w:hAnsi="Inter" w:cs="Inter" w:eastAsia="Inter"/>
      <w:color w:val="3C485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tichetta">
    <w:name w:val="Etichetta"/>
    <w:basedOn w:val="Normal"/>
    <w:qFormat/>
    <w:pPr>
      <w:spacing w:after="80"/>
    </w:pPr>
    <w:rPr>
      <w:rFonts w:ascii="IBM Plex Mono" w:hAnsi="IBM Plex Mono" w:cs="IBM Plex Mono" w:eastAsia="IBM Plex Mono"/>
      <w:caps/>
      <w:color w:val="64748B"/>
      <w:spacing w:val="20"/>
      <w:sz w:val="17"/>
    </w:rPr>
  </w:style>
  <w:style w:type="paragraph" w:customStyle="1" w:styleId="Callout">
    <w:name w:val="Callout"/>
    <w:basedOn w:val="Normal"/>
    <w:qFormat/>
    <w:pPr>
      <w:pBdr>
        <w:left w:val="single" w:sz="18" w:space="8" w:color="B45309"/>
      </w:pBdr>
      <w:shd w:val="clear" w:color="auto" w:fill="F8FAFC"/>
      <w:spacing w:before="200" w:after="200"/>
      <w:ind w:left="200"/>
    </w:pPr>
    <w:rPr>
      <w:rFonts w:ascii="Inter" w:hAnsi="Inter" w:cs="Inter" w:eastAsia="Inter"/>
      <w:color w:val="0F172A"/>
      <w:sz w:val="21"/>
    </w:rPr>
  </w:style>
  <w:style w:type="paragraph" w:customStyle="1" w:styleId="Didascalia">
    <w:name w:val="Didascalia"/>
    <w:basedOn w:val="Normal"/>
    <w:qFormat/>
    <w:pPr>
      <w:spacing w:before="80"/>
    </w:pPr>
    <w:rPr>
      <w:rFonts w:ascii="Inter" w:hAnsi="Inter" w:cs="Inter" w:eastAsia="Inter"/>
      <w:color w:val="64748B"/>
      <w:sz w:val="18"/>
    </w:rPr>
  </w:style>
  <w:style w:type="paragraph" w:customStyle="1" w:styleId="Codice">
    <w:name w:val="Codice"/>
    <w:basedOn w:val="Normal"/>
    <w:qFormat/>
    <w:pPr>
      <w:spacing w:line="288" w:lineRule="auto"/>
    </w:pPr>
    <w:rPr>
      <w:rFonts w:ascii="IBM Plex Mono" w:hAnsi="IBM Plex Mono" w:cs="IBM Plex Mono" w:eastAsia="IBM Plex Mono"/>
      <w:color w:val="0F172A"/>
      <w:sz w:val="18"/>
    </w:rPr>
  </w:style>
  <w:style w:type="table" w:customStyle="1" w:styleId="TabellaEnricoDeleo">
    <w:name w:val="Tabella Enrico Deleo"/>
    <w:basedOn w:val="TableNormal"/>
    <w:uiPriority w:val="40"/>
    <w:pPr>
      <w:spacing w:before="60" w:after="60" w:line="276" w:lineRule="auto"/>
    </w:pPr>
    <w:rPr>
      <w:sz w:val="19"/>
    </w:rPr>
    <w:tblPr>
      <w:tblBorders>
        <w:top w:val="single" w:sz="4" w:space="0" w:color="C0CCDA"/>
        <w:bottom w:val="single" w:sz="4" w:space="0" w:color="C0CCDA"/>
        <w:insideH w:val="single" w:sz="4" w:space="0" w:color="C0CCDA"/>
      </w:tblBorders>
      <w:tblCellMar>
        <w:top w:w="57" w:type="dxa"/>
        <w:left w:w="113" w:type="dxa"/>
        <w:bottom w:w="57" w:type="dxa"/>
        <w:right w:w="113" w:type="dxa"/>
      </w:tblCellMar>
    </w:tblPr>
    <w:tblStylePr w:type="firstRow">
      <w:rPr>
        <w:rFonts w:ascii="Inter SemiBold" w:hAnsi="Inter SemiBold" w:cs="Inter SemiBold"/>
        <w:color w:val="FFFFFF"/>
      </w:rPr>
      <w:tcPr>
        <w:shd w:val="clear" w:color="auto" w:fill="0F172A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Enrico Deleo</dc:title>
  <dc:subject/>
  <dc:creator>Enrico Deleo</dc:creator>
  <cp:keywords/>
  <dc:description/>
  <cp:lastModifiedBy>Enrico Deleo</cp:lastModifiedBy>
  <cp:revision>1</cp:revision>
  <dcterms:created xsi:type="dcterms:W3CDTF">2026-10-01T09:00:00Z</dcterms:created>
  <dcterms:modified xsi:type="dcterms:W3CDTF">2026-10-01T09:00:00Z</dcterms:modified>
  <cp:category/>
</cp:coreProperties>
</file>